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9a165c345451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43327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DOM ZA STARIJE   OSOBE "MAJKA MARIJA PETKOVIĆ"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550.791,84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564.110,79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555.980,92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558.287,06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5.823,73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2.538,76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2.273,70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2.538,76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2.273,70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3.550,03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prvih šest mjeseci 2026. godine u Domu je radilo 33 radnika, kojima su redovito isplaćivane plaće i druga materijalna prava, kao i ostale isplate na temelju kolektivnog ugovora s računa blagajne, do 30. lipnja. Isplaćuju se uskrsni blagdani, duhovni blagdani, bolovanje dulje od 40 dana, naknade za neiskorišteni godišnji odmor. U prvih 6 mjeseci ove godine uočen je porast prekovremenih sati zbog nedostatka osoblja i većeg obujma posla. Na kraju izvještajnog razdoblja uočen je porast troškova u odnosu na prošlu godinu, zbog stalnog rasta cijena na tržištu. Objekt je klimatiziran od prošle godine, a troškovi energije su u porastu. Također su veći troškovi održavanja zbog stalnog održavanja zgrade.U odnosu na prošlu godinu u porastu su zdravstvene usluge zbog sistematskih pregleda djelatnika , te laboratorijskih usluga analize vode. Na kraju izvještajnog razdoblja ostvaren je višak prihoda u iznosu od 3.550,03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nema dospjelih obveza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e52e862f44439e" /></Relationships>
</file>